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143 WDO 2002 — Sonderbestimmung für Soldaten auf Zeit</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Wird einem Soldaten auf Zeit während der ersten vier Dienstjahre eine Entlassungsverfügung nach § 55 Abs. 5 des Soldatengesetzes zugestellt, kann gegen ihn wegen derselben Tat ein gerichtliches Disziplinarverfahren erst eingeleitet oder fortgesetzt werden, wenn unanfechtbar feststeht, dass die Entlassungsverfügung nicht zur Beendigung des Dienstverhältnisses führt. Hebt das Verwaltungsgericht die Entlassungsverfügung auf, darf wegen derselben Tat nicht auf Entfernung aus dem Dienstverhältnis erkannt werden. § 84 Abs. 2 gilt entsprechend.</w:t>
      </w:r>
    </w:p>
    <w:p>
      <w:r>
        <w:t xml:space="preserve">(2) Wird gegen einen Soldaten auf Zeit ein gerichtliches Disziplinarverfahren anhängig, kann er wegen derselben Tat nicht mehr nach § 55 Abs. 5 des Soldatengesetzes entlassen werden.</w:t>
      </w:r>
    </w:p>
    <w:p>
      <w:r>
        <w:rPr>
          <w:color w:val="555555"/>
          <w:sz w:val="17"/>
        </w:rPr>
        <w:t xml:space="preserve">Zitiervorschlag: § 143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