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WDO 2002 — Rücknahme förmlicher Anerkennungen</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Eine förmliche Anerkennung ist zurückzunehmen, wenn sich nachträglich herausstellt, dass die Voraussetzungen, unter denen sie erteilt wurde, nicht vorlagen. Die Rücknahme ist zu begründen. Vor der Entscheidung ist der Soldat zu hören.</w:t>
      </w:r>
    </w:p>
    <w:p>
      <w:r>
        <w:t xml:space="preserve">(2) Über die Rücknahme entscheidet die Einleitungsbehörde. Hat ein höherer Disziplinarvorgesetzter die förmliche Anerkennung erteilt, steht ihm die Entscheidung zu. Bei Wegfall der Dienststelle des höheren Disziplinarvorgesetzten wird die Zuständigkeit durch den Bundesminister der Verteidigung bestimmt.</w:t>
      </w:r>
    </w:p>
    <w:p>
      <w:r>
        <w:t xml:space="preserve">(3) Wird die förmliche Anerkennung zurückgenommen, ist zugleich darüber zu entscheiden, ob ein in Anspruch genommener Sonderurlaub ganz oder teilweise auf den Erholungsurlaub anzurechnen ist. Eine Anrechnung des in Anspruch genommenen Sonderurlaubs auf den Erholungsurlaub unterbleibt, soweit dies eine besondere Härte bedeuten würde.</w:t>
      </w:r>
    </w:p>
    <w:p>
      <w:r>
        <w:t xml:space="preserve">(4) Die Entscheidung ist dem Soldaten zuzustellen.</w:t>
      </w:r>
    </w:p>
    <w:p>
      <w:r>
        <w:rPr>
          <w:color w:val="555555"/>
          <w:sz w:val="17"/>
        </w:rPr>
        <w:t xml:space="preserve">Zitiervorschlag: § 14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