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WDO 2002 — Kosten bei Rechtsmitteln und Rechtsbehelfen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Kosten eines erfolgreichen Rechtsmittels des Soldaten oder des Wehrdisziplinaranwalts, soweit dieser es zu Gunsten des Soldaten eingelegt hat, sind dem Bund aufzuerlegen. Die Kosten eines zu Ungunsten des Soldaten eingelegten und erfolgreichen Rechtsmittels des Wehrdisziplinaranwalts trägt der Soldat; sie sind jedoch dem Bund teilweise oder ganz aufzuerlegen, soweit es unbillig wäre, den Soldaten damit zu belasten.</w:t>
      </w:r>
    </w:p>
    <w:p>
      <w:r>
        <w:t xml:space="preserve">(2) Die Kosten eines zurückgenommenen oder erfolglos eingelegten Rechtsmittels treffen den, der es eingelegt hat.</w:t>
      </w:r>
    </w:p>
    <w:p>
      <w:r>
        <w:t xml:space="preserve">(3) Hat das Rechtsmittel teilweise Erfolg, hat das Wehrdienstgericht die Kosten teilweise oder ganz dem Bund aufzuerlegen, soweit es unbillig wäre, den Soldaten damit zu belasten.</w:t>
      </w:r>
    </w:p>
    <w:p>
      <w:r>
        <w:t xml:space="preserve">(4) Hat das Wehrdienstgericht das gerichtliche Disziplinarverfahren eingestellt, weil gegen den Soldaten, der nach Einlegung der Berufung in den Ruhestand getreten ist, ein verwirktes Beförderungsverbot nicht verhängt werden darf, so hat dieser die Kosten des Verfahrens zu tragen. Soweit es unbillig wäre, den Soldaten mit den Kosten des Verfahrens zu belasten, sind sie dem Bund ganz oder teilweise aufzuerlegen.</w:t>
      </w:r>
    </w:p>
    <w:p>
      <w:r>
        <w:t xml:space="preserve">(5) Die Absätze 1 bis 4 gelten sinngemäß für die Kosten des Verfahrens, die durch einen Antrag auf gerichtliche Entscheidung in den Fällen des § 92 Abs. 4, § 95 Abs. 2, § 98 Abs. 3 Satz 2, § 121a, § 127 Abs. 4 und § 128 oder durch einen Antrag auf Wiederaufnahme des Verfahrens entstanden sind.</w:t>
      </w:r>
    </w:p>
    <w:p>
      <w:r>
        <w:rPr>
          <w:color w:val="555555"/>
          <w:sz w:val="17"/>
        </w:rPr>
        <w:t xml:space="preserve">Zitiervorschlag: § 139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