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132 WDO 2002 — Entscheidung durch Beschluss</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(1) Das Wehrdienstgericht kann den Antrag, auch nach Eröffnung der mündlichen Verhandlung, durch Beschluss verwerfen, wenn es die gesetzlichen Voraussetzungen für seine Zulassung nicht für gegeben oder ihn für offensichtlich unbegründet hält.</w:t>
      </w:r>
    </w:p>
    <w:p>
      <w:r>
        <w:t xml:space="preserve">(2) Das Wehrdienstgericht kann vor Eröffnung der mündlichen Verhandlung mit Zustimmung des Wehrdisziplinaranwalts oder des Bundeswehrdisziplinaranwalts durch Beschluss das angefochtene Urteil aufheben oder das gerichtliche Disziplinarverfahren einstellen. Der Beschluss ist unanfechtbar.</w:t>
      </w:r>
    </w:p>
    <w:p>
      <w:r>
        <w:t xml:space="preserve">(3) Der rechtskräftige Beschluss nach Absatz 1 sowie der Beschluss nach Absatz 2 stehen einem rechtskräftigen Urteil gleich.</w:t>
      </w:r>
    </w:p>
    <w:p>
      <w:r>
        <w:rPr>
          <w:color w:val="555555"/>
          <w:sz w:val="17"/>
        </w:rPr>
        <w:t xml:space="preserve">Zitiervorschlag: § 132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https://recht.nulegal.eu/gesetze/WDO%202002/132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