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WDO 2002 — Zuständigkeit zum Erteilen von förmlichen Anerkennungen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(1) Es können erteilen</w:t>
      </w:r>
    </w:p>
    <w:p>
      <w:pPr>
        <w:ind w:left="420"/>
      </w:pPr>
      <w:r>
        <w:t xml:space="preserve">1. der Kompaniechef oder ein anderer Disziplinarvorgesetzter mit der Disziplinarbefugnis eines Kompaniechefs oder einer höheren DisziplinarbefugnisAnerkennung im Kompanie- oder Tagesbefehl,</w:t>
      </w:r>
    </w:p>
    <w:p>
      <w:pPr>
        <w:ind w:left="420"/>
      </w:pPr>
      <w:r>
        <w:t xml:space="preserve">2. der Bundesminister der VerteidigungAnerkennung im Ministerialblatt des Bundesministeriums der Verteidigung.</w:t>
      </w:r>
    </w:p>
    <w:p>
      <w:r>
        <w:t xml:space="preserve">(2) Es können gewähren</w:t>
      </w:r>
    </w:p>
    <w:p>
      <w:pPr>
        <w:ind w:left="420"/>
      </w:pPr>
      <w:r>
        <w:t xml:space="preserve">1. der Kompaniechef oder ein Disziplinarvorgesetzter mit der Disziplinarbefugnis eines KompaniechefsSonderurlaub bis zu fünf Arbeitstagen,</w:t>
      </w:r>
    </w:p>
    <w:p>
      <w:pPr>
        <w:ind w:left="420"/>
      </w:pPr>
      <w:r>
        <w:t xml:space="preserve">2. der Bataillonskommandeur oder ein Disziplinarvorgesetzter mit der Disziplinarbefugnis eines BataillonskommandeursSonderurlaub bis zu sieben Arbeitstagen,</w:t>
      </w:r>
    </w:p>
    <w:p>
      <w:pPr>
        <w:ind w:left="420"/>
      </w:pPr>
      <w:r>
        <w:t xml:space="preserve">3. der Regimentskommandeur oder ein Disziplinarvorgesetzter mit der Disziplinarbefugnis eines RegimentskommandeursSonderurlaub bis zu 14 Arbeitstagen.</w:t>
      </w:r>
    </w:p>
    <w:p>
      <w:r>
        <w:rPr>
          <w:color w:val="555555"/>
          <w:sz w:val="17"/>
        </w:rPr>
        <w:t xml:space="preserve">Zitiervorschlag: § 12 WDO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https://recht.nulegal.eu/gesetze/WDO%202002/12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