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118 WDO 2002 — Zustellung der Berufung</w:t>
      </w:r>
    </w:p>
    <w:p>
      <w:r>
        <w:rPr>
          <w:color w:val="555555"/>
          <w:sz w:val="18"/>
        </w:rPr>
        <w:t xml:space="preserve">Wehrdisziplinarordnung</w:t>
      </w:r>
    </w:p>
    <w:p>
      <w:r>
        <w:rPr>
          <w:color w:val="555555"/>
          <w:sz w:val="18"/>
        </w:rPr>
        <w:t xml:space="preserve">Historische Fassung: Stand 10.06.2019 bis 13.04.2025. Dies ist nicht die aktuelle Fassung.</w:t>
      </w:r>
    </w:p>
    <w:p>
      <w:r>
        <w:t xml:space="preserve">Wird die Berufung nicht als unzulässig verworfen, ist eine Abschrift der Berufungsschrift dem Wehrdisziplinaranwalt oder, wenn dieser die Berufung eingelegt hat, dem Soldaten zuzustellen.</w:t>
      </w:r>
    </w:p>
    <w:p>
      <w:r>
        <w:rPr>
          <w:color w:val="555555"/>
          <w:sz w:val="17"/>
        </w:rPr>
        <w:t xml:space="preserve">Zitiervorschlag: § 118 WDO 2002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https://recht.nulegal.eu/gesetze/WDO%202002/118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