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WDO 2002 — Einlegung und Begründung der Berufung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Berufung ist bei dem Truppendienstgericht einzulegen. Die Berufungsfrist wird auch gewahrt, wenn während ihres Laufs die Berufung beim Bundesverwaltungsgericht eingelegt wird. § 112 gilt entsprechend.</w:t>
      </w:r>
    </w:p>
    <w:p>
      <w:r>
        <w:t xml:space="preserve">(2) In der Berufungsschrift ist das angefochtene Urteil zu bezeichnen und anzugeben, inwieweit es angefochten wird und welche Änderungen beantragt werden. Die Anträge sind zu begründen.</w:t>
      </w:r>
    </w:p>
    <w:p>
      <w:r>
        <w:rPr>
          <w:color w:val="555555"/>
          <w:sz w:val="17"/>
        </w:rPr>
        <w:t xml:space="preserve">Zitiervorschlag: § 116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