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115 WDO 2002 — Zulässigkeit und Frist der Berufung</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Gegen das Urteil des Truppendienstgerichts ist bis zum Ablauf eines Monats nach seiner Zustellung die Berufung an das Bundesverwaltungsgericht zulässig. Befindet sich der Soldat aus dienstlichen Gründen im Ausland, kann der Vorsitzende der Truppendienstkammer die Berufungsfrist durch eine Verfügung, die zugleich mit dem Urteil zuzustellen ist, angemessen verlängern.</w:t>
      </w:r>
    </w:p>
    <w:p>
      <w:r>
        <w:t xml:space="preserve">(2) Ist in dem von dem Soldaten angefochtenen Urteil ein Unterhaltsbeitrag bewilligt worden, kann die Entscheidung zu seinem Nachteil nur geändert werden, wenn der Bundeswehrdisziplinaranwalt dies bis zum Schluss der Hauptverhandlung beantragt.</w:t>
      </w:r>
    </w:p>
    <w:p>
      <w:r>
        <w:rPr>
          <w:color w:val="555555"/>
          <w:sz w:val="17"/>
        </w:rPr>
        <w:t xml:space="preserve">Zitiervorschlag: § 115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https://recht.nulegal.eu/gesetze/WDO%202002/115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