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111 WDO 2002 — Unterzeichnung des Urteils, Zustellung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Das mit Gründen versehene Urteil der Truppendienstkammer ist vom Vorsitzenden, im Fall der großen Besetzung auch von den beiden weiteren Richtern zu unterzeichnen.</w:t>
      </w:r>
    </w:p>
    <w:p>
      <w:r>
        <w:t xml:space="preserve">(2) Dem Soldaten und dem Wehrdisziplinaranwalt ist eine Ausfertigung des Urteils mit Gründen zuzustellen.</w:t>
      </w:r>
    </w:p>
    <w:p>
      <w:r>
        <w:rPr>
          <w:color w:val="555555"/>
          <w:sz w:val="17"/>
        </w:rPr>
        <w:t xml:space="preserve">Zitiervorschlag: § 111 WDO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https://recht.nulegal.eu/gesetze/WDO%202002/111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