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WDO 2002 — Entscheidung des Truppendienstgerichts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Das Urteil kann nur auf eine Disziplinarmaßnahme, auf Freispruch oder auf Einstellung des Verfahrens lauten.</w:t>
      </w:r>
    </w:p>
    <w:p>
      <w:r>
        <w:t xml:space="preserve">(2) Auf Freispruch ist zu erkennen, wenn ein Dienstvergehen nicht vorliegt oder nicht erwiesen ist.</w:t>
      </w:r>
    </w:p>
    <w:p>
      <w:r>
        <w:t xml:space="preserve">(3) Das Verfahren ist einzustellen, wenn ein Verfahrenshindernis besteht, eine Disziplinarmaßnahme nicht zulässig ist oder nach § 16 nicht verhängt werden darf. Das Gericht kann das Verfahren mit Zustimmung des Wehrdisziplinaranwalts einstellen, wenn es ein Dienstvergehen zwar für erwiesen, eine Disziplinarmaßnahme aber nicht für angebracht hält.</w:t>
      </w:r>
    </w:p>
    <w:p>
      <w:r>
        <w:t xml:space="preserve">(4) Besteht ein Verfahrenshindernis, kann der Vorsitzende der Truppendienstkammer das Verfahren außerhalb der Hauptverhandlung durch Beschluss einstellen.</w:t>
      </w:r>
    </w:p>
    <w:p>
      <w:r>
        <w:rPr>
          <w:color w:val="555555"/>
          <w:sz w:val="17"/>
        </w:rPr>
        <w:t xml:space="preserve">Zitiervorschlag: § 108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