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107 WDO 2002 — Gegenstand der Urteilsfindung</w:t>
      </w:r>
    </w:p>
    <w:p>
      <w:r>
        <w:rPr>
          <w:color w:val="555555"/>
          <w:sz w:val="18"/>
        </w:rPr>
        <w:t xml:space="preserve">Wehrdisziplinarordnung</w:t>
      </w:r>
    </w:p>
    <w:p>
      <w:r>
        <w:rPr>
          <w:color w:val="555555"/>
          <w:sz w:val="18"/>
        </w:rPr>
        <w:t xml:space="preserve">Historische Fassung: Stand 10.06.2019 bis 13.04.2025. Dies ist nicht die aktuelle Fassung.</w:t>
      </w:r>
    </w:p>
    <w:p>
      <w:r>
        <w:t xml:space="preserve">(1) Zum Gegenstand der Urteilsfindung können nur die Pflichtverletzungen gemacht werden, die in der Anschuldigungsschrift und ihren Nachträgen dem Soldaten als Dienstvergehen zur Last gelegt werden.</w:t>
      </w:r>
    </w:p>
    <w:p>
      <w:r>
        <w:t xml:space="preserve">(2) Nach Anhörung des Wehrdisziplinaranwalts kann das Truppendienstgericht solche Pflichtverletzungen aus dem gerichtlichen Disziplinarverfahren ausklammern, die für die Art und Höhe der zu erwartenden Disziplinarmaßnahme nicht oder voraussichtlich nicht ins Gewicht fallen. Die ausgeklammerten Pflichtverletzungen können nicht wieder in das gerichtliche Disziplinarverfahren einbezogen werden, es sei denn, die Beschränkungsvoraussetzungen entfallen nachträglich. Eine Verfolgung der ausgeklammerten Pflichtverletzungen ist nach dem unanfechtbaren Abschluss des gerichtlichen Disziplinarverfahrens nicht mehr zulässig.</w:t>
      </w:r>
    </w:p>
    <w:p>
      <w:r>
        <w:t xml:space="preserve">(3) Der Urteilsfindung können auch die Beweise zu Grunde gelegt werden, die nach § 106 Abs. 2 Gegenstand der Hauptverhandlung waren.</w:t>
      </w:r>
    </w:p>
    <w:p>
      <w:r>
        <w:rPr>
          <w:color w:val="555555"/>
          <w:sz w:val="17"/>
        </w:rPr>
        <w:t xml:space="preserve">Zitiervorschlag: § 107 WDO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https://recht.nulegal.eu/gesetze/WDO%202002/107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