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WDO 2002 — Grundsatz der Nichtöffentlichkeit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Hauptverhandlung ist nicht öffentlich. Disziplinarvorgesetzten und ihren Beauftragten ist die Anwesenheit zu gestatten. Der Vorsitzende der Truppendienstkammer kann weitere Personen zulassen, die ein berechtigtes persönliches oder dienstliches Interesse an dem Gegenstand der Verhandlung haben.</w:t>
      </w:r>
    </w:p>
    <w:p>
      <w:r>
        <w:t xml:space="preserve">(2) Auf Antrag des Soldaten ist die Öffentlichkeit herzustellen. Die §§ 171a bis 174, 175 Abs. 1 und 3 des Gerichtsverfassungsgesetzes gelten entsprechend. Das Gericht kann für die Hauptverhandlung oder einen Teil davon die Öffentlichkeit auch dann ausschließen, wenn dies zum Schutz der Bundeswehr oder ihrer Einrichtungen zwingend geboten ist.</w:t>
      </w:r>
    </w:p>
    <w:p>
      <w:r>
        <w:rPr>
          <w:color w:val="555555"/>
          <w:sz w:val="17"/>
        </w:rPr>
        <w:t xml:space="preserve">Zitiervorschlag: § 105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