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WDO 2002 — Teilnahme des Soldaten an der Hauptverhandlung</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Hauptverhandlung findet auch ohne Anwesenheit des Soldaten statt,</w:t>
      </w:r>
    </w:p>
    <w:p>
      <w:pPr>
        <w:ind w:left="420"/>
      </w:pPr>
      <w:r>
        <w:t xml:space="preserve">1. wenn der Soldat auf seinen Antrag von der Verpflichtung zum Erscheinen in der Hauptverhandlung entbunden worden ist;</w:t>
      </w:r>
    </w:p>
    <w:p>
      <w:pPr>
        <w:ind w:left="420"/>
      </w:pPr>
      <w:r>
        <w:t xml:space="preserve">2. wenn die Gestellung des Soldaten nicht ausführbar oder nicht angemessen ist, weil sein Aufenthalt unbekannt ist oder weil er sich außerhalb des Geltungsbereichs dieses Gesetzes aufhält;</w:t>
      </w:r>
    </w:p>
    <w:p>
      <w:pPr>
        <w:ind w:left="420"/>
      </w:pPr>
      <w:r>
        <w:t xml:space="preserve">3. wenn der frühere Soldat zu dem Termin ordnungsgemäß geladen und in der Ladung darauf hingewiesen ist, dass in seiner Abwesenheit verhandelt werden kann;</w:t>
      </w:r>
    </w:p>
    <w:p>
      <w:pPr>
        <w:ind w:left="420"/>
      </w:pPr>
      <w:r>
        <w:t xml:space="preserve">4. wenn der Soldat nach § 85 durch einen Betreuer oder Pfleger vertreten wird.</w:t>
      </w:r>
    </w:p>
    <w:p>
      <w:r>
        <w:t xml:space="preserve">(2) In den Fällen des Absatzes 1 kann sich der Soldat durch einen Verteidiger vertreten lassen.</w:t>
      </w:r>
    </w:p>
    <w:p>
      <w:r>
        <w:t xml:space="preserve">(3) Bei einem früheren Soldaten kann der Vorsitzende das persönliche Erscheinen anordnen. Ist der frühere Soldat vorübergehend verhandlungsunfähig oder aus zwingenden Gründen am Erscheinen verhindert, findet keine Hauptverhandlung statt, solange diese Hinderungsgründe bestehen.</w:t>
      </w:r>
    </w:p>
    <w:p>
      <w:r>
        <w:rPr>
          <w:color w:val="555555"/>
          <w:sz w:val="17"/>
        </w:rPr>
        <w:t xml:space="preserve">Zitiervorschlag: § 104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