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103 WDO 2002 — Ladung zur Hauptverhandlung, Ladungsfrist</w:t>
      </w:r>
    </w:p>
    <w:p>
      <w:r>
        <w:rPr>
          <w:color w:val="555555"/>
          <w:sz w:val="18"/>
        </w:rPr>
        <w:t xml:space="preserve">Wehrdisziplinarordnung</w:t>
      </w:r>
    </w:p>
    <w:p>
      <w:r>
        <w:rPr>
          <w:color w:val="555555"/>
          <w:sz w:val="18"/>
        </w:rPr>
        <w:t xml:space="preserve">Historische Fassung: Stand 10.06.2019 bis 13.04.2025. Dies ist nicht die aktuelle Fassung.</w:t>
      </w:r>
    </w:p>
    <w:p>
      <w:r>
        <w:t xml:space="preserve">(1) Nach Ablauf der Frist des § 100 setzt der Vorsitzende den Termin zur Hauptverhandlung an und lädt hierzu den Wehrdisziplinaranwalt, den Soldaten und seinen Verteidiger. Er lädt ferner die Zeugen und Sachverständigen, deren Erscheinen er für erforderlich hält; ihre Namen sind in den Ladungen des Wehrdisziplinaranwalts, des Soldaten und seines Verteidigers anzugeben. Er lässt andere Beweismittel herbeischaffen, die er für notwendig hält.</w:t>
      </w:r>
    </w:p>
    <w:p>
      <w:r>
        <w:t xml:space="preserve">(2) Zwischen der Zustellung oder Bekanntgabe der Ladung und der Hauptverhandlung muss eine Frist von mindestens einer Woche liegen, wenn der Soldat nicht auf die Einhaltung der Frist verzichtet; es gilt als Verzicht, wenn der Soldat sich auf die Hauptverhandlung eingelassen hat, ohne zu rügen, dass die Frist nicht eingehalten sei.</w:t>
      </w:r>
    </w:p>
    <w:p>
      <w:r>
        <w:rPr>
          <w:color w:val="555555"/>
          <w:sz w:val="17"/>
        </w:rPr>
        <w:t xml:space="preserve">Zitiervorschlag: § 103 WDO 2002</w:t>
      </w:r>
    </w:p>
    <w:p>
      <w:r>
        <w:rPr>
          <w:color w:val="555555"/>
          <w:sz w:val="17"/>
        </w:rPr>
        <w:t xml:space="preserve">Quelle: Bundesamt für Justiz (Archivstand),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https://recht.nulegal.eu/gesetze/WDO%202002/103</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