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WDO 2002 — Disziplinargerichtsbescheid</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Der Vorsitzende kann durch Disziplinargerichtsbescheid</w:t>
      </w:r>
    </w:p>
    <w:p>
      <w:pPr>
        <w:ind w:left="420"/>
      </w:pPr>
      <w:r>
        <w:t xml:space="preserve">1. die erforderliche Disziplinarmaßnahme verhängen, wenn keine höhere Disziplinarmaßnahme als ein Beförderungsverbot oder ein Beförderungsverbot mit Kürzung der Dienstbezüge oder eine Kürzung des Ruhegehalts verwirkt ist,</w:t>
      </w:r>
    </w:p>
    <w:p>
      <w:pPr>
        <w:ind w:left="420"/>
      </w:pPr>
      <w:r>
        <w:t xml:space="preserve">2. auf Freispruch erkennen oder</w:t>
      </w:r>
    </w:p>
    <w:p>
      <w:pPr>
        <w:ind w:left="420"/>
      </w:pPr>
      <w:r>
        <w:t xml:space="preserve">3. das Verfahren einstellen, wenn dies aus den Gründen des § 98 Abs. 1 Nr. 1 bis 3 geboten ist.</w:t>
      </w:r>
    </w:p>
    <w:p>
      <w:r>
        <w:t xml:space="preserve">Ein Disziplinargerichtsbescheid darf nur ergehen, wenn die Sache keine besonderen Schwierigkeiten tatsächlicher oder rechtlicher Art aufweist und wenn der Wehrdisziplinaranwalt mit Zustimmung der Einleitungsbehörde und des Bundeswehrdisziplinaranwalts sowie der Soldat der Verhängung einer bestimmten Disziplinarmaßnahme, dem Freispruch oder der Einstellung ohne Hauptverhandlung nicht widersprechen.</w:t>
      </w:r>
    </w:p>
    <w:p>
      <w:r>
        <w:t xml:space="preserve">(2) Der Disziplinargerichtsbescheid ergeht durch Beschluss und ist zu begründen. Er steht mit seiner Zustellung an den Soldaten einem rechtskräftigen Urteil gleich.</w:t>
      </w:r>
    </w:p>
    <w:p>
      <w:r>
        <w:rPr>
          <w:color w:val="555555"/>
          <w:sz w:val="17"/>
        </w:rPr>
        <w:t xml:space="preserve">Zitiervorschlag: § 102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