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WDO 2002 — Anrufung des Truppendienstgerichts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Ist die Anschuldigungsschrift dem Soldaten innerhalb von sechs Monaten nach der Zustellung der Einleitungsverfügung nicht zugestellt, kann er die Entscheidung des Truppendienstgerichts beantragen. Das Truppendienstgericht hat dem Wehrdisziplinaranwalt Gelegenheit zu geben, sich innerhalb von zwei Wochen zu dem Antrag zu äußern. Es kann verlangen, dass ihm alle bisher entstandenen Vorgänge vorgelegt werden.</w:t>
      </w:r>
    </w:p>
    <w:p>
      <w:r>
        <w:t xml:space="preserve">(2) Stellt das Gericht eine unangemessene Verzögerung fest, bestimmt es eine Frist, in der entweder die Anschuldigungsschrift vorzulegen oder das Verfahren einzustellen ist. Andernfalls weist es den Antrag zurück. Der Beschluss ist dem Soldaten und dem Wehrdisziplinaranwalt zuzustellen. Die Entscheidung ist endgültig.</w:t>
      </w:r>
    </w:p>
    <w:p>
      <w:r>
        <w:t xml:space="preserve">(3) Der Lauf der in Absatz 1 Satz 1 bezeichneten Frist ist gehemmt, solange das Verfahren nach § 83 ausgesetzt ist.</w:t>
      </w:r>
    </w:p>
    <w:p>
      <w:r>
        <w:rPr>
          <w:color w:val="555555"/>
          <w:sz w:val="17"/>
        </w:rPr>
        <w:t xml:space="preserve">Zitiervorschlag: § 101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