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WDO 2002 — Sachlicher und persönlicher Geltungsbereich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Dieses Gesetz regelt die Würdigung besonderer Leistungen durch förmliche Anerkennungen und die Ahndung von Dienstvergehen durch Disziplinarmaßnahmen.</w:t>
      </w:r>
    </w:p>
    <w:p>
      <w:r>
        <w:t xml:space="preserve">(2) Das Gesetz gilt für Soldaten. Es gilt ferner für diejenigen, die in einem Wehrdienstverhältnis gestanden haben (frühere Soldaten), soweit sich aus diesem Gesetz nichts anderes ergibt.</w:t>
      </w:r>
    </w:p>
    <w:p>
      <w:r>
        <w:t xml:space="preserve">(3) Frühere Soldaten, die keinen Anspruch auf Ruhegehalt, jedoch einen sonstigen Anspruch auf Dienstzeitversorgung, Altersgeld nach dem Altersgeldgesetz vom 28. August 2013 (BGBl. I S. 3386) oder auf Berufsförderung haben, gelten bis zur Beendigung der Gewährung dieser Leistungen im Sinne dieses Gesetzes als Soldaten im Ruhestand. Die Leistungen, die sie erhalten, gelten als Ruhegehalt.</w:t>
      </w:r>
    </w:p>
    <w:p>
      <w:r>
        <w:rPr>
          <w:color w:val="555555"/>
          <w:sz w:val="17"/>
        </w:rPr>
        <w:t xml:space="preserve">Zitiervorschlag: § 1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