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WDüngV</w:t>
      </w:r>
    </w:p>
    <w:p>
      <w:r>
        <w:rPr>
          <w:color w:val="555555"/>
          <w:sz w:val="18"/>
        </w:rPr>
        <w:t xml:space="preserve">Verordnung über das Inverkehrbringen und Befördern von Wirtschaftsdünger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4, auch in Verbindung mit § 15 Absatz 6 Satz 1, des Düngegesetzes vom 9. Januar 2009 (BGBl. I S. 54, 136), von denen § 4 durch Artikel 2 des Gesetzes vom 31. Juli 2009 (BGBl. I S. 2539) geändert worden ist, verordnet das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WDüngV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https://recht.nulegal.eu/gesetze/WD%C3%BCngV/eingangsformel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