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WDüngV — Inkrafttreten</w:t>
      </w:r>
    </w:p>
    <w:p>
      <w:r>
        <w:rPr>
          <w:color w:val="555555"/>
          <w:sz w:val="18"/>
        </w:rPr>
        <w:t xml:space="preserve">Verordnung über das Inverkehrbringen und Befördern von Wirtschaftsdünger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September 2010 in Kraft.</w:t>
      </w:r>
    </w:p>
    <w:p>
      <w:r>
        <w:rPr>
          <w:color w:val="555555"/>
          <w:sz w:val="17"/>
        </w:rPr>
        <w:t xml:space="preserve">Zitiervorschlag: § 8 WDüngV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https://recht.nulegal.eu/gesetze/WD%C3%BCngV/8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WDüngV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