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WDüngV — Ordnungswidrigkeiten</w:t>
      </w:r>
    </w:p>
    <w:p>
      <w:r>
        <w:rPr>
          <w:color w:val="555555"/>
          <w:sz w:val="18"/>
        </w:rPr>
        <w:t xml:space="preserve">Verordnung über das Inverkehrbringen und Befördern von Wirtschaftsdünger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14 Absatz 2 Nummer 1 Buchstabe d des Düngegesetzes handelt, wer vorsätzlich oder fahrlässig</w:t>
      </w:r>
    </w:p>
    <w:p>
      <w:pPr>
        <w:ind w:left="420"/>
      </w:pPr>
      <w:r>
        <w:t xml:space="preserve">1. entgegen § 3 Absatz 1 Satz 1, auch in Verbindung mit Satz 4, eine Aufzeichnung nicht, nicht richtig, nicht vollständig oder nicht rechtzeitig erstellt,</w:t>
      </w:r>
    </w:p>
    <w:p>
      <w:pPr>
        <w:ind w:left="420"/>
      </w:pPr>
      <w:r>
        <w:t xml:space="preserve">2. entgegen § 3 Absatz 2 Satz 1 eine Aufzeichnung nicht oder nicht für die vorgeschriebene Dauer aufbewahrt,</w:t>
      </w:r>
    </w:p>
    <w:p>
      <w:pPr>
        <w:ind w:left="420"/>
      </w:pPr>
      <w:r>
        <w:t xml:space="preserve">3. entgegen § 3 Absatz 2 Satz 2 eine Aufzeichnung nicht vorlegt,</w:t>
      </w:r>
    </w:p>
    <w:p>
      <w:pPr>
        <w:ind w:left="420"/>
      </w:pPr>
      <w:r>
        <w:t xml:space="preserve">4. entgegen § 4 eine Meldung nicht, nicht richtig, nicht vollständig oder nicht rechtzeitig macht oder</w:t>
      </w:r>
    </w:p>
    <w:p>
      <w:pPr>
        <w:ind w:left="420"/>
      </w:pPr>
      <w:r>
        <w:t xml:space="preserve">5. entgegen § 5 eine Mitteilung nicht, nicht richtig, nicht vollständig oder nicht rechtzeitig macht.</w:t>
      </w:r>
    </w:p>
    <w:p>
      <w:r>
        <w:rPr>
          <w:color w:val="555555"/>
          <w:sz w:val="17"/>
        </w:rPr>
        <w:t xml:space="preserve">Zitiervorschlag: § 7 WDüngV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https://recht.nulegal.eu/gesetze/WD%C3%BCngV/7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