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WDüngV — Aufzeichnungspflicht</w:t>
      </w:r>
    </w:p>
    <w:p>
      <w:r>
        <w:rPr>
          <w:color w:val="555555"/>
          <w:sz w:val="18"/>
        </w:rPr>
        <w:t xml:space="preserve">Verordnung über das Inverkehrbringen und Befördern von Wirtschaftsdünger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Abgeber, Beförderer sowie Empfänger haben spätestens einen Monat nach Abschluss des Inverkehrbringens, des Beförderns oder der Übernahme Aufzeichnungen zu erstellen, in denen Folgendes angegeben werden muss:</w:t>
      </w:r>
    </w:p>
    <w:p>
      <w:pPr>
        <w:ind w:left="420"/>
      </w:pPr>
      <w:r>
        <w:t xml:space="preserve">1. Name und Anschrift des Abgebers,</w:t>
      </w:r>
    </w:p>
    <w:p>
      <w:pPr>
        <w:ind w:left="420"/>
      </w:pPr>
      <w:r>
        <w:t xml:space="preserve">2. Datum der Abgabe, des Beförderns oder der Übernahme,</w:t>
      </w:r>
    </w:p>
    <w:p>
      <w:pPr>
        <w:ind w:left="420"/>
      </w:pPr>
      <w:r>
        <w:t xml:space="preserve">3. Menge in Tonnen Frischmasse und Angabe der Wirtschaftsdüngerart oder des sonstigen Stoffes,</w:t>
      </w:r>
    </w:p>
    <w:p>
      <w:pPr>
        <w:ind w:left="420"/>
      </w:pPr>
      <w:r>
        <w:t xml:space="preserve">4. Gehalte an Stickstoff (Gesamt N) und Phosphat (P2O5) in Kilogramm je Tonne Frischmasse sowie die Menge Stickstoffs aus Wirtschaftsdünger tierischer Herkunft in Kilogramm,</w:t>
      </w:r>
    </w:p>
    <w:p>
      <w:pPr>
        <w:ind w:left="420"/>
      </w:pPr>
      <w:r>
        <w:t xml:space="preserve">5. Name und Anschrift des Beförderers,</w:t>
      </w:r>
    </w:p>
    <w:p>
      <w:pPr>
        <w:ind w:left="420"/>
      </w:pPr>
      <w:r>
        <w:t xml:space="preserve">6. Name und Anschrift des Empfängers.</w:t>
      </w:r>
    </w:p>
    <w:p>
      <w:r>
        <w:t xml:space="preserve">Ergeben sich die in Satz 1 genannten Angaben ohne Weiteres aus den geschäftlichen Unterlagen, brauchen keine gesonderten Aufzeichnungen erstellt zu werden. Satz 1 Nummer 4 gilt nicht für den Beförderer, der ausschließlich im Auftrag eines anderen befördert. Für Empfänger, die Stoffe nach § 1 Satz 1 im eigenen Betrieb verwenden, gilt Satz 1 mit der Maßgabe, dass die Aufzeichnungen spätestens zwei Monate nach der Übernahme zu erstellen sind.</w:t>
      </w:r>
    </w:p>
    <w:p>
      <w:r>
        <w:t xml:space="preserve">(2) Wer Aufzeichnungen nach Absatz 1 zu erstellen hat, hat diese für drei Jahre ab dem Datum der Abgabe aufzubewahren. Der Aufzeichnungspflichtige hat die Aufzeichnungen der zuständigen Stelle auf Verlangen vorzulegen.</w:t>
      </w:r>
    </w:p>
    <w:p>
      <w:r>
        <w:rPr>
          <w:color w:val="555555"/>
          <w:sz w:val="17"/>
        </w:rPr>
        <w:t xml:space="preserve">Zitiervorschlag: § 3 WDüngV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https://recht.nulegal.eu/gesetze/WD%C3%BCngV/3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