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WDüngV — Begriffsbestimmungen</w:t>
      </w:r>
    </w:p>
    <w:p>
      <w:r>
        <w:rPr>
          <w:color w:val="555555"/>
          <w:sz w:val="18"/>
        </w:rPr>
        <w:t xml:space="preserve">Verordnung über das Inverkehrbringen und Befördern von Wirtschaftsdünger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Sinne dieser Verordnung sind</w:t>
      </w:r>
    </w:p>
    <w:p>
      <w:pPr>
        <w:ind w:left="420"/>
      </w:pPr>
      <w:r>
        <w:t xml:space="preserve">1. Abgeber: natürliche oder juristische Person, die einen der in § 1 Satz 1 Nummer 1 genannten Stoffe an andere abgibt;</w:t>
      </w:r>
    </w:p>
    <w:p>
      <w:pPr>
        <w:ind w:left="420"/>
      </w:pPr>
      <w:r>
        <w:t xml:space="preserve">2. Beförderer: natürliche oder juristische Person, die einen der in § 1 Satz 1 Nummer 1 genannten Stoffe für sich selbst oder für andere befördert;</w:t>
      </w:r>
    </w:p>
    <w:p>
      <w:pPr>
        <w:ind w:left="420"/>
      </w:pPr>
      <w:r>
        <w:t xml:space="preserve">3. Empfänger: natürliche oder juristische Person, die einen der in § 1 Satz 1 Nummer 1 genannten Stoffe von anderen übernimmt.</w:t>
      </w:r>
    </w:p>
    <w:p>
      <w:r>
        <w:t xml:space="preserve">Eine Übernahme im Sinne des Satzes 1 Nummer 3 liegt auch vor, soweit ein in § 1 Satz 1 Nummer 1 genannter Stoff im Auftrag des Empfängers unmittelbar durch Dritte auf Flächen des Empfängers aufgebracht wird.</w:t>
      </w:r>
    </w:p>
    <w:p>
      <w:r>
        <w:rPr>
          <w:color w:val="555555"/>
          <w:sz w:val="17"/>
        </w:rPr>
        <w:t xml:space="preserve">Zitiervorschlag: § 2 WDüngV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https://recht.nulegal.eu/gesetze/WD%C3%BCngV/2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