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WDüngV — Geltungsbereich</w:t>
      </w:r>
    </w:p>
    <w:p>
      <w:r>
        <w:rPr>
          <w:color w:val="555555"/>
          <w:sz w:val="18"/>
        </w:rPr>
        <w:t xml:space="preserve">Verordnung über das Inverkehrbringen und Befördern von Wirtschaftsdünger</w:t>
      </w:r>
    </w:p>
    <w:p>
      <w:r>
        <w:rPr>
          <w:color w:val="555555"/>
          <w:sz w:val="18"/>
        </w:rPr>
        <w:t xml:space="preserve">Stand: 05.05.2020 (konsolidierte Textfassung, kein amtliches Inkrafttretensdatum)</w:t>
      </w:r>
    </w:p>
    <w:p>
      <w:r>
        <w:t xml:space="preserve">Diese Verordnung gilt für</w:t>
      </w:r>
    </w:p>
    <w:p>
      <w:pPr>
        <w:ind w:left="420"/>
      </w:pPr>
      <w:r>
        <w:t xml:space="preserve">1. das Inverkehrbringen einschließlich des Vermittelns, das Befördern und die Übernahme von Wirtschaftsdüngern sowie von Stoffen, die als Ausgangsstoff oder Bestandteil Wirtschaftsdünger enthalten, im Inland sowie</w:t>
      </w:r>
    </w:p>
    <w:p>
      <w:pPr>
        <w:ind w:left="420"/>
      </w:pPr>
      <w:r>
        <w:t xml:space="preserve">2. das Befördern der in Nummer 1 genannten Stoffe nach anderen Staaten.</w:t>
      </w:r>
    </w:p>
    <w:p>
      <w:r>
        <w:t xml:space="preserve">Die §§ 3 bis 5 gelten nicht beim Inverkehrbringen, beim Befördern und bei der Übernahme der in Satz 1 Nummer 1 genannten Stoffe,</w:t>
      </w:r>
    </w:p>
    <w:p>
      <w:pPr>
        <w:ind w:left="420"/>
      </w:pPr>
      <w:r>
        <w:t xml:space="preserve">1. soweit die Handlungen innerhalb eines Umkreises von 50 Kilometern um den Betrieb, in dem die Stoffe angefallen sind,</w:t>
      </w:r>
    </w:p>
    <w:p>
      <w:pPr>
        <w:ind w:left="780"/>
      </w:pPr>
      <w:r>
        <w:t xml:space="preserve">a) innerhalb eines Betriebes,</w:t>
      </w:r>
    </w:p>
    <w:p>
      <w:pPr>
        <w:ind w:left="780"/>
      </w:pPr>
      <w:r>
        <w:t xml:space="preserve">b) zwischen zwei Betrieben desselben Verfügungsberechtigten</w:t>
      </w:r>
    </w:p>
    <w:p>
      <w:pPr>
        <w:ind w:left="420"/>
      </w:pPr>
      <w:r>
        <w:t xml:space="preserve">vorgenommen werden,</w:t>
      </w:r>
    </w:p>
    <w:p>
      <w:pPr>
        <w:ind w:left="420"/>
      </w:pPr>
      <w:r>
        <w:t xml:space="preserve">2. soweit die Stoffe von Betrieben in den Verkehr gebracht, befördert oder übernommen werden, die der Düngeverordnung unterliegen, und diese Betriebe</w:t>
      </w:r>
    </w:p>
    <w:p>
      <w:pPr>
        <w:ind w:left="780"/>
      </w:pPr>
      <w:r>
        <w:t xml:space="preserve">a) nach § 10 Absatz 3 der Düngeverordnung nicht zur Erstellung von Aufzeichnungen verpflichtet sind und</w:t>
      </w:r>
    </w:p>
    <w:p>
      <w:pPr>
        <w:ind w:left="780"/>
      </w:pPr>
      <w:r>
        <w:t xml:space="preserve">b) die Summe aus betrieblichem Nährstoffanfall und aufgenommener Menge 500 Kilogramm Stickstoff im Jahr nicht überschreiten,</w:t>
      </w:r>
    </w:p>
    <w:p>
      <w:pPr>
        <w:ind w:left="420"/>
      </w:pPr>
      <w:r>
        <w:t xml:space="preserve">3. soweit die von einem Betrieb insgesamt in den Verkehr gebrachte, beförderte und aufgenommene Menge 200 Tonnen Frischmasse im Kalenderjahr nicht überschreitet oder</w:t>
      </w:r>
    </w:p>
    <w:p>
      <w:pPr>
        <w:ind w:left="420"/>
      </w:pPr>
      <w:r>
        <w:t xml:space="preserve">4. soweit diese in Verpackungen kleiner als 50 Kilogramm an nicht gewerbsmäßige Endverbraucher in den Verkehr gebracht werden.</w:t>
      </w:r>
    </w:p>
    <w:p>
      <w:r>
        <w:rPr>
          <w:color w:val="555555"/>
          <w:sz w:val="17"/>
        </w:rPr>
        <w:t xml:space="preserve">Zitiervorschlag: § 1 WDüngV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https://recht.nulegal.eu/gesetze/WD%C3%BCngV/1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