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WBVG — Schriftform und Vertragsinhalt</w:t>
      </w:r>
    </w:p>
    <w:p>
      <w:r>
        <w:rPr>
          <w:color w:val="555555"/>
          <w:sz w:val="18"/>
        </w:rPr>
        <w:t xml:space="preserve">Wohn- und Betreuungsvertragsgesetz</w:t>
      </w:r>
    </w:p>
    <w:p>
      <w:r>
        <w:rPr>
          <w:color w:val="555555"/>
          <w:sz w:val="18"/>
        </w:rPr>
        <w:t xml:space="preserve">Stand: 10.06.2019 (konsolidierte Textfassung, kein amtliches Inkrafttretensdatum)</w:t>
      </w:r>
    </w:p>
    <w:p>
      <w:r>
        <w:t xml:space="preserve">(1) Der Vertrag ist schriftlich abzuschließen. Der Abschluss des Vertrags in elektronischer Form ist ausgeschlossen. Der Unternehmer hat dem Verbraucher eine Ausfertigung des Vertrags auszuhändigen.</w:t>
      </w:r>
    </w:p>
    <w:p>
      <w:r>
        <w:t xml:space="preserve">(2) Wird der Vertrag nicht in schriftlicher Form geschlossen, sind zu Lasten des Verbrauchers von den gesetzlichen Regelungen abweichende Vereinbarungen unwirksam, auch wenn sie durch andere Vorschriften dieses Gesetzes zugelassen werden; im Übrigen bleibt der Vertrag wirksam. Der Verbraucher kann den Vertrag jederzeit ohne Einhaltung einer Frist kündigen. Ist der schriftliche Vertragsschluss im Interesse des Verbrauchers unterblieben, insbesondere weil zum Zeitpunkt des Vertragsschlusses beim Verbraucher Gründe vorlagen, die ihn an der schriftlichen Abgabe seiner Vertragserklärung hinderten, muss der schriftliche Vertragsschluss unverzüglich nachgeholt werden.</w:t>
      </w:r>
    </w:p>
    <w:p>
      <w:r>
        <w:t xml:space="preserve">(3) Der Vertrag muss mindestens</w:t>
      </w:r>
    </w:p>
    <w:p>
      <w:pPr>
        <w:ind w:left="420"/>
      </w:pPr>
      <w:r>
        <w:t xml:space="preserve">1. die Leistungen des Unternehmers nach Art, Inhalt und Umfang einzeln beschreiben,</w:t>
      </w:r>
    </w:p>
    <w:p>
      <w:pPr>
        <w:ind w:left="420"/>
      </w:pPr>
      <w:r>
        <w:t xml:space="preserve">2. die für diese Leistungen jeweils zu zahlenden Entgelte, getrennt nach Überlassung des Wohnraums, Pflege- oder Betreuungsleistungen, gegebenenfalls Verpflegung als Teil der Betreuungsleistungen sowie den einzelnen weiteren Leistungen, die nach § 82 Absatz 3 und 4 des Elften Buches Sozialgesetzbuch gesondert berechenbaren Investitionskosten und das Gesamtentgelt angeben,</w:t>
      </w:r>
    </w:p>
    <w:p>
      <w:pPr>
        <w:ind w:left="420"/>
      </w:pPr>
      <w:r>
        <w:t xml:space="preserve">3. die Informationen des Unternehmers nach § 3 als Vertragsgrundlage benennen und mögliche Abweichungen von den vorvertraglichen Informationen gesondert kenntlich machen,</w:t>
      </w:r>
    </w:p>
    <w:p>
      <w:pPr>
        <w:ind w:left="420"/>
      </w:pPr>
      <w:r>
        <w:t xml:space="preserve">4. die Informationen nach § 36 Absatz 1 des Verbraucherstreitbeilegungsgesetzes vom 19. Februar 2016 (BGBl. I S. 254) geben; dies gilt auch, wenn der Unternehmer keine Webseite unterhält oder keine Allgemeinen Geschäftsbedingungen verwendet.</w:t>
      </w:r>
    </w:p>
    <w:p>
      <w:r>
        <w:rPr>
          <w:color w:val="555555"/>
          <w:sz w:val="17"/>
        </w:rPr>
        <w:t xml:space="preserve">Zitiervorschlag: § 6 WBVG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