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WBVG — Wechsel der Vertragsparteien</w:t>
      </w:r>
    </w:p>
    <w:p>
      <w:r>
        <w:rPr>
          <w:color w:val="555555"/>
          <w:sz w:val="18"/>
        </w:rPr>
        <w:t xml:space="preserve">Wohn- und Betreuungsvertragsgesetz</w:t>
      </w:r>
    </w:p>
    <w:p>
      <w:r>
        <w:rPr>
          <w:color w:val="555555"/>
          <w:sz w:val="18"/>
        </w:rPr>
        <w:t xml:space="preserve">Stand: 10.06.2019 (konsolidierte Textfassung, kein amtliches Inkrafttretensdatum)</w:t>
      </w:r>
    </w:p>
    <w:p>
      <w:r>
        <w:t xml:space="preserve">(1) Mit Personen, die mit dem Verbraucher einen auf Dauer angelegten gemeinsamen Haushalt führen und nicht Vertragspartner des Unternehmers hinsichtlich der Überlassung des Wohnraums sind, wird das Vertragsverhältnis beim Tod des Verbrauchers hinsichtlich der Überlassung des Wohnraums gegen Zahlung der darauf entfallenden Entgeltbestandteile bis zum Ablauf des dritten Kalendermonats nach dem Sterbetag des Verbrauchers fortgesetzt. Erklären Personen, mit denen das Vertragsverhältnis fortgesetzt wurde, innerhalb von vier Wochen nach dem Sterbetag des Verbrauchers dem Unternehmer, dass sie das Vertragsverhältnis nicht fortsetzen wollen, gilt die Fortsetzung des Vertragsverhältnisses als nicht erfolgt. Ist das Vertragsverhältnis mit mehreren Personen fortgesetzt worden, so kann jeder die Erklärung für sich abgeben.</w:t>
      </w:r>
    </w:p>
    <w:p>
      <w:r>
        <w:t xml:space="preserve">(2) Wird der überlassene Wohnraum nach Beginn des Vertragsverhältnisses von dem Unternehmer an einen Dritten veräußert, gelten für die Rechte und Pflichten des Erwerbers hinsichtlich der Überlassung des Wohnraums die §§ 566 bis 567b des Bürgerlichen Gesetzbuchs entsprechend.</w:t>
      </w:r>
    </w:p>
    <w:p>
      <w:r>
        <w:rPr>
          <w:color w:val="555555"/>
          <w:sz w:val="17"/>
        </w:rPr>
        <w:t xml:space="preserve">Zitiervorschlag: § 5 WBVG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