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WBVG — Ausnahmen vom Anwendungsbereich</w:t>
      </w:r>
    </w:p>
    <w:p>
      <w:r>
        <w:rPr>
          <w:color w:val="555555"/>
          <w:sz w:val="18"/>
        </w:rPr>
        <w:t xml:space="preserve">Wohn- und Betreuungsvertragsgesetz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ist nicht anzuwenden auf Verträge über</w:t>
      </w:r>
    </w:p>
    <w:p>
      <w:pPr>
        <w:ind w:left="420"/>
      </w:pPr>
      <w:r>
        <w:t xml:space="preserve">1. Leistungen der Krankenhäuser, Vorsorge- oder Rehabilitationseinrichtungen im Sinne des § 107 des Fünften Buches Sozialgesetzbuch,</w:t>
      </w:r>
    </w:p>
    <w:p>
      <w:pPr>
        <w:ind w:left="420"/>
      </w:pPr>
      <w:r>
        <w:t xml:space="preserve">2. Leistungen der Internate der Berufsbildungs- und Berufsförderungswerke,</w:t>
      </w:r>
    </w:p>
    <w:p>
      <w:pPr>
        <w:ind w:left="420"/>
      </w:pPr>
      <w:r>
        <w:t xml:space="preserve">3. Leistungen im Sinne des § 41 des Achten Buches Sozialgesetzbuch,</w:t>
      </w:r>
    </w:p>
    <w:p>
      <w:pPr>
        <w:ind w:left="420"/>
      </w:pPr>
      <w:r>
        <w:t xml:space="preserve">4. Leistungen, die im Rahmen von Kur- oder Erholungsaufenthalten erbracht werden.</w:t>
      </w:r>
    </w:p>
    <w:p>
      <w:r>
        <w:rPr>
          <w:color w:val="555555"/>
          <w:sz w:val="17"/>
        </w:rPr>
        <w:t xml:space="preserve">Zitiervorschlag: § 2 WBVG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https://recht.nulegal.eu/gesetze/WBVG/2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