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WBVG — Übergangsvorschriften</w:t>
      </w:r>
    </w:p>
    <w:p>
      <w:r>
        <w:rPr>
          <w:color w:val="555555"/>
          <w:sz w:val="18"/>
        </w:rPr>
        <w:t xml:space="preserve">Wohn- und Betreuungsvertragsgesetz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Heimverträge im Sinne des § 5 Absatz 1 Satz 1 des Heimgesetzes, die vor dem 1. Oktober 2009 geschlossenen worden sind, sind bis zum 30. April 2010 die §§ 5 bis 9 und 14 Absatz 2 Nummer 4, Absatz 4, 7 und 8 des Heimgesetzes in ihrer bis zum 30. September 2009 geltenden Fassung anzuwenden. Ab dem 1. Mai 2010 richten sich die Rechte und Pflichten aus den in Satz 1 genannten Verträgen nach diesem Gesetz. Der Unternehmer hat den Verbraucher vor der erforderlichen schriftlichen Anpassung eines Vertrags in entsprechender Anwendung des § 3 zu informieren.</w:t>
      </w:r>
    </w:p>
    <w:p>
      <w:r>
        <w:t xml:space="preserve">(2) Auf die bis zum 30. September 2009 geschlossenen Verträge, die keine Heimverträge im Sinne des § 5 Absatz 1 Satz 1 des Heimgesetzes sind, ist dieses Gesetz nicht anzuwenden.</w:t>
      </w:r>
    </w:p>
    <w:p>
      <w:r>
        <w:t xml:space="preserve">(3) § 6 Absatz 3 Nummer 4 gilt nur für nach dem 31. März 2016 geschlossene Verträge.</w:t>
      </w:r>
    </w:p>
    <w:p>
      <w:r>
        <w:rPr>
          <w:color w:val="555555"/>
          <w:sz w:val="17"/>
        </w:rPr>
        <w:t xml:space="preserve">Zitiervorschlag: § 17 WBVG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https://recht.nulegal.eu/gesetze/WBVG/17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