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WBVG — Unwirksamkeit abweichender Vereinbarungen</w:t>
      </w:r>
    </w:p>
    <w:p>
      <w:r>
        <w:rPr>
          <w:color w:val="555555"/>
          <w:sz w:val="18"/>
        </w:rPr>
        <w:t xml:space="preserve">Wohn- und Betreuungsvertragsgesetz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Vorschriften dieses Gesetzes zum Nachteil des Verbrauchers abweichende Vereinbarungen sind unwirksam.</w:t>
      </w:r>
    </w:p>
    <w:p>
      <w:r>
        <w:rPr>
          <w:color w:val="555555"/>
          <w:sz w:val="17"/>
        </w:rPr>
        <w:t xml:space="preserve">Zitiervorschlag: § 16 WBVG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https://recht.nulegal.eu/gesetze/WBVG/16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