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WBV (Brandenburg) — Förderung der Grundversorgung</w:t>
      </w:r>
    </w:p>
    <w:p>
      <w:r>
        <w:rPr>
          <w:color w:val="555555"/>
          <w:sz w:val="18"/>
        </w:rPr>
        <w:t xml:space="preserve">Weiterbildungsverordnung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Land fördert die von den Landkreisen und kreisfreien Städten für ihr Gebiet festgelegte Grundversorgung bis zu einer Höhe von 2 400 Unterrichtsstunden je 40 000 Einwohnerinnen und Einwohner (Grundversorgungsschlüssel). Voraussetzungen, Höhe und Bemessungsgrundlagen der Förderung werden gemäß § 29 des Brandenburgischen Weiterbildungsgesetzes in Richtlinien geregelt.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5 WBV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