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WBV (Brandenburg) — Inkrafttreten, Außerkrafttreten</w:t>
      </w:r>
    </w:p>
    <w:p>
      <w:r>
        <w:rPr>
          <w:color w:val="555555"/>
          <w:sz w:val="18"/>
        </w:rPr>
        <w:t xml:space="preserve">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2019 in Kraft. Gleichzeitig tritt die Weiterbildungsverordnung vom 9. Dezember 2015 (GVBl. II Nr. 61) außer Kraft.</w:t>
      </w:r>
    </w:p>
    <w:p>
      <w:r>
        <w:t xml:space="preserve">Einzelnorm</w:t>
      </w:r>
    </w:p>
    <w:p>
      <w:r>
        <w:t xml:space="preserve">Potsdam, den 25. Juni 2019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In Vertretung</w:t>
      </w:r>
    </w:p>
    <w:p>
      <w:r>
        <w:t xml:space="preserve">Dr. Thomas Drescher</w:t>
      </w:r>
    </w:p>
    <w:p>
      <w:r>
        <w:rPr>
          <w:color w:val="555555"/>
          <w:sz w:val="17"/>
        </w:rPr>
        <w:t xml:space="preserve">Zitiervorschlag: § 12 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