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WBStiftG — Inkrafttreten</w:t>
      </w:r>
    </w:p>
    <w:p>
      <w:r>
        <w:rPr>
          <w:color w:val="555555"/>
          <w:sz w:val="18"/>
        </w:rPr>
        <w:t xml:space="preserve">Gesetz über die Errichtung einer Bundeskanzler-Willy-Brandt-Stiftung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14 WBStiftG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