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WBO — Zurücknahme der Beschwerde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kann jederzeit durch schriftliche oder mündliche Erklärung zurückgenommen werden. § 6 Absatz 2 Satz 2 und 3 gilt entsprechend. Die Erklärung ist gegenüber dem nächsten Disziplinarvorgesetzten oder der für die Entscheidung sonst zuständigen Stelle abzugeben. Diese Beschwerde ist dadurch erledigt.</w:t>
      </w:r>
    </w:p>
    <w:p>
      <w:r>
        <w:t xml:space="preserve">(2) Die Pflicht des Vorgesetzten, im Rahmen seiner Dienstaufsicht Mängel abzustellen, bleibt bestehen.</w:t>
      </w:r>
    </w:p>
    <w:p>
      <w:r>
        <w:rPr>
          <w:color w:val="555555"/>
          <w:sz w:val="17"/>
        </w:rPr>
        <w:t xml:space="preserve">Zitiervorschlag: § 8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https://recht.nulegal.eu/gesetze/WBO/8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