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WBO — Fristversäumnis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Beschwerdeführer an der Einhaltung einer Frist durch militärischen Dienst, durch Naturereignisse oder andere unabwendbare Zufälle gehindert, läuft die Frist erst zwei Wochen nach Beseitigung des Hindernisses ab.</w:t>
      </w:r>
    </w:p>
    <w:p>
      <w:r>
        <w:t xml:space="preserve">(2) Als unabwendbarer Zufall ist auch anzusehen, wenn eine vorgeschriebene Rechtsbehelfsbelehrung unterblieben oder unrichtig ist.</w:t>
      </w:r>
    </w:p>
    <w:p>
      <w:r>
        <w:rPr>
          <w:color w:val="555555"/>
          <w:sz w:val="17"/>
        </w:rPr>
        <w:t xml:space="preserve">Zitiervorschlag: § 7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