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WBO — Ergänzende Vorschriften</w:t>
      </w:r>
    </w:p>
    <w:p>
      <w:r>
        <w:rPr>
          <w:color w:val="555555"/>
          <w:sz w:val="18"/>
        </w:rPr>
        <w:t xml:space="preserve">Wehrbeschwerdeordnung</w:t>
      </w:r>
    </w:p>
    <w:p>
      <w:r>
        <w:rPr>
          <w:color w:val="555555"/>
          <w:sz w:val="18"/>
        </w:rPr>
        <w:t xml:space="preserve">Stand: 10.06.2019 (konsolidierte Textfassung, kein amtliches Inkrafttretensdatum)</w:t>
      </w:r>
    </w:p>
    <w:p>
      <w:r>
        <w:t xml:space="preserve">(1) Zur Ergänzung der Vorschriften dieses Gesetzes gelten die Vorschriften der Wehrdisziplinarordnung, insbesondere über Akteneinsicht, Befangenheit der für die Entscheidung zuständigen Disziplinarvorgesetzten, Bindung an tatsächliche Feststellungen anderer Entscheidungen, Entschädigung von Zeugen und Sachverständigen und Wiederaufnahme entsprechend.</w:t>
      </w:r>
    </w:p>
    <w:p>
      <w:r>
        <w:t xml:space="preserve">(2) In den gerichtlichen Antragsverfahren sowie in den Verfahren nach den §§ 22a und 22b sind darüber hinaus die Vorschriften der Verwaltungsgerichtsordnung sowie des Gerichtsverfassungsgesetzes entsprechend anzuwenden, soweit nicht die Eigenart des Beschwerdeverfahrens entgegensteht. Die Vorschriften des Siebzehnten Titels des Gerichtsverfassungsgesetzes sind mit der Maßgabe entsprechend anzuwenden, dass an die Stelle des Bundesgerichtshofs die Wehrdienstsenate beim Bundesverwaltungsgericht treten und an die Stelle der Zivilprozessordnung die Verwaltungsgerichtsordnung tritt.</w:t>
      </w:r>
    </w:p>
    <w:p>
      <w:r>
        <w:t xml:space="preserve">(3) Für die Rüge der Verletzung des Anspruchs auf rechtliches Gehör gilt § 152a der Verwaltungsgerichtsordnung entsprechend.</w:t>
      </w:r>
    </w:p>
    <w:p>
      <w:r>
        <w:rPr>
          <w:color w:val="555555"/>
          <w:sz w:val="17"/>
        </w:rPr>
        <w:t xml:space="preserve">Zitiervorschlag: § 23a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