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WBO — Entscheidungen des Bundesministers der Verteidigung</w:t>
      </w:r>
    </w:p>
    <w:p>
      <w:r>
        <w:rPr>
          <w:color w:val="555555"/>
          <w:sz w:val="18"/>
        </w:rPr>
        <w:t xml:space="preserve">Wehrbeschwerdeordnung</w:t>
      </w:r>
    </w:p>
    <w:p>
      <w:r>
        <w:rPr>
          <w:color w:val="555555"/>
          <w:sz w:val="18"/>
        </w:rPr>
        <w:t xml:space="preserve">Stand: 13.04.2025 (konsolidierte Textfassung, kein amtliches Inkrafttretensdatum)</w:t>
      </w:r>
    </w:p>
    <w:p>
      <w:r>
        <w:t xml:space="preserve">(1) Gegen Entscheidungen oder Maßnahmen des Bundesministers der Verteidigung einschließlich der Entscheidungen über Beschwerden oder weitere Beschwerden kann der Beschwerdeführer unmittelbar die Entscheidung des Bundesverwaltungsgerichts beantragen. Der Antrag ist beim Bundesministerium der Verteidigung zu stellen.</w:t>
      </w:r>
    </w:p>
    <w:p>
      <w:r>
        <w:t xml:space="preserve">(2) Für den Antrag auf Entscheidung des Bundesverwaltungsgerichts und für das Verfahren gelten die §§ 17 bis 20 entsprechend. § 20 Absatz 4 in Verbindung mit § 146 der Wehrdisziplinarordnung ist mit der Maßgabe anzuwenden, dass an die Stelle des Truppendienstgerichts das Bundesverwaltungsgericht tritt.</w:t>
      </w:r>
    </w:p>
    <w:p>
      <w:r>
        <w:t xml:space="preserve">(3) Abweichend von § 17 Absatz 4 Satz 4 legt das Bundesministerium der Verteidigung den Antrag mit einer Stellungnahme vor. Im Übrigen wird der Bundesminister der Verteidigung im Verfahren vor dem Bundesverwaltungsgericht durch den Bundeswehrdisziplinaranwalt vertreten.</w:t>
      </w:r>
    </w:p>
    <w:p>
      <w:r>
        <w:rPr>
          <w:color w:val="555555"/>
          <w:sz w:val="17"/>
        </w:rPr>
        <w:t xml:space="preserve">Zitiervorschlag: § 21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