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WBO — Verbot der Benachteiligung</w:t>
      </w:r>
    </w:p>
    <w:p>
      <w:r>
        <w:rPr>
          <w:color w:val="555555"/>
          <w:sz w:val="18"/>
        </w:rPr>
        <w:t xml:space="preserve">Wehrbeschwerdeordnung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Niemand darf dienstlich gemaßregelt oder benachteiligt werden, weil seine Beschwerde nicht auf dem vorgeschriebenen Weg oder nicht fristgerecht eingelegt worden ist oder weil er eine unbegründete Beschwerde erhoben hat.</w:t>
      </w:r>
    </w:p>
    <w:p>
      <w:r>
        <w:rPr>
          <w:color w:val="555555"/>
          <w:sz w:val="17"/>
        </w:rPr>
        <w:t xml:space="preserve">Zitiervorschlag: § 2 WBO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