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16a WBO — Notwendige Aufwendungen und Kosten im vorgerichtlichen Verfahren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vorgerichtliche Verfahren beginnt mit der Einlegung der Beschwerde. Es ist kostenfrei.</w:t>
      </w:r>
    </w:p>
    <w:p>
      <w:r>
        <w:t xml:space="preserve">(2) Soweit die Beschwerde in truppendienstlichen Angelegenheiten erfolgreich ist, sind dem Beschwerdeführer die ihm zur zweckentsprechenden Rechtsverfolgung oder Rechtsverteidigung erwachsenen notwendigen Aufwendungen zu erstatten.</w:t>
      </w:r>
    </w:p>
    <w:p>
      <w:r>
        <w:t xml:space="preserve">(3) Die Vergütung eines Rechtsanwalts oder eines sonstigen Bevollmächtigten ist nur dann erstattungsfähig, wenn die Hinzuziehung notwendig war.</w:t>
      </w:r>
    </w:p>
    <w:p>
      <w:r>
        <w:t xml:space="preserve">(4) Soweit der Beschwerde vor Erlass eines Beschwerdebescheides abgeholfen wird, sind die Absätze 1 bis 3 unter Berücksichtigung des bisherigen Sachstandes sinngemäß anzuwenden.</w:t>
      </w:r>
    </w:p>
    <w:p>
      <w:r>
        <w:t xml:space="preserve">(5) Die Entscheidung über die Erstattung der notwendigen Aufwendungen sowie die Notwendigkeit der Hinzuziehung eines Bevollmächtigten kann durch Anrufung des Truppendienstgerichts angefochten werden. § 17 Absatz 4 gilt entsprechend. Der Vorsitzende der Truppendienstkammer entscheidet hierüber endgültig durch Beschluss. Erlässt der Bundesminister der Verteidigung oder der Generalinspekteur der Bundeswehr den Beschwerdebescheid, gelten die Sätze 1 bis 3 entsprechend mit der Maßgabe, dass das Bundesverwaltungsgericht an die Stelle des Truppendienstgerichts tritt.</w:t>
      </w:r>
    </w:p>
    <w:p>
      <w:r>
        <w:t xml:space="preserve">(6) § 144 Absatz 8 und § 146 der Wehrdisziplinarordnung gelten entsprechend.</w:t>
      </w:r>
    </w:p>
    <w:p>
      <w:r>
        <w:rPr>
          <w:color w:val="555555"/>
          <w:sz w:val="17"/>
        </w:rPr>
        <w:t xml:space="preserve">Zitiervorschlag: § 16a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https://recht.nulegal.eu/gesetze/WBO/16a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