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WBO — Weitere Beschwerde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Beschwerde in truppendienstlichen Angelegenheiten erfolglos geblieben, kann der Beschwerdeführer innerhalb eines Monats nach Zustellung des Beschwerdebescheides weitere Beschwerde einlegen.</w:t>
      </w:r>
    </w:p>
    <w:p>
      <w:r>
        <w:t xml:space="preserve">(2) Die weitere Beschwerde kann auch eingelegt werden, wenn über die Beschwerde innerhalb eines Monats nicht entschieden worden ist.</w:t>
      </w:r>
    </w:p>
    <w:p>
      <w:r>
        <w:t xml:space="preserve">(3) Für die Entscheidung über die weitere Beschwerde ist der nächsthöhere Disziplinarvorgesetzte zuständig.</w:t>
      </w:r>
    </w:p>
    <w:p>
      <w:r>
        <w:t xml:space="preserve">(4) Für die weitere Beschwerde gelten die Vorschriften über die Beschwerde entsprechend.</w:t>
      </w:r>
    </w:p>
    <w:p>
      <w:r>
        <w:rPr>
          <w:color w:val="555555"/>
          <w:sz w:val="17"/>
        </w:rPr>
        <w:t xml:space="preserve">Zitiervorschlag: § 16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