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WBO-ÖGW (Bayern)</w:t>
      </w:r>
    </w:p>
    <w:p>
      <w:r>
        <w:rPr>
          <w:color w:val="555555"/>
          <w:sz w:val="18"/>
        </w:rPr>
        <w:t xml:space="preserve">Weiterbildungsordnung für Ärzte im Gebiet „Öffentliches Gesundheitswesen“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24 Abs. 8 und Art. 25 Abs. 1 Satz 4 des Kammergesetzes erläßt das Bayerische Staatsministerium des Innern folgende Weiterbildungsordnung:</w:t>
      </w:r>
    </w:p>
    <w:p>
      <w:r>
        <w:rPr>
          <w:color w:val="555555"/>
          <w:sz w:val="17"/>
        </w:rPr>
        <w:t xml:space="preserve">Zitiervorschlag: Eingangsformel WBO-ÖGW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https://recht.nulegal.eu/gesetze/WBO-%C3%96GW/eingangsformel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