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WBO-ÖGW (Bayern)</w:t>
      </w:r>
    </w:p>
    <w:p>
      <w:r>
        <w:rPr>
          <w:color w:val="555555"/>
          <w:sz w:val="18"/>
        </w:rPr>
        <w:t xml:space="preserve">Weiterbildungsordnung für Ärzte im Gebiet „Öffentliches Gesundheitswesen“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Weiterbildungsordnung tritt am 1. Januar 1980 in Kraft.</w:t>
      </w:r>
    </w:p>
    <w:p>
      <w:r>
        <w:t xml:space="preserve">[Amtl. Anm.:] Betrifft die ursprüngliche Fassung vom 13. Dezember 1979 (GVBl. S. 447)</w:t>
      </w:r>
    </w:p>
    <w:p>
      <w:r>
        <w:rPr>
          <w:color w:val="555555"/>
          <w:sz w:val="17"/>
        </w:rPr>
        <w:t xml:space="preserve">Zitiervorschlag: § 7 WBO-ÖGW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https://recht.nulegal.eu/gesetze/WBO-%C3%96GW/7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WBO-ÖGW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