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WBO-ÖGW (Bayern)</w:t>
      </w:r>
    </w:p>
    <w:p>
      <w:r>
        <w:rPr>
          <w:color w:val="555555"/>
          <w:sz w:val="18"/>
        </w:rPr>
        <w:t xml:space="preserve">Weiterbildungsordnung für Ärzte im Gebiet „Öffentliches Gesundheitswesen“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Zahnärzte gelten § 5 Abs. 1 und 2 Satz 1 sowie § 5a entsprechend. Die Gebietsbezeichnung lautet „Öffentliches Gesundheitswesen“ und kann auch in der Form „Fachzahnarzt für Öffentliches Gesundheitswesen“ geführt werden.</w:t>
      </w:r>
    </w:p>
    <w:p>
      <w:r>
        <w:rPr>
          <w:color w:val="555555"/>
          <w:sz w:val="17"/>
        </w:rPr>
        <w:t xml:space="preserve">Zitiervorschlag: § 6 WBO-ÖGW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https://recht.nulegal.eu/gesetze/WBO-%C3%96GW/6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