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5b WBO-ÖGW (Bayern)</w:t>
      </w:r>
    </w:p>
    <w:p>
      <w:r>
        <w:rPr>
          <w:color w:val="555555"/>
          <w:sz w:val="18"/>
        </w:rPr>
        <w:t xml:space="preserve">Weiterbildungsordnung für Ärzte im Gebiet „Öffentliches Gesundheitswesen“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Über Anerkennungen und Anrechnungen nach dieser Verordnung entscheidet das Staatsministerium für Gesundheit, Pflege und Prävention.</w:t>
      </w:r>
    </w:p>
    <w:p>
      <w:r>
        <w:rPr>
          <w:color w:val="555555"/>
          <w:sz w:val="17"/>
        </w:rPr>
        <w:t xml:space="preserve">Zitiervorschlag: § 5b WBO-ÖGW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https://recht.nulegal.eu/gesetze/WBO-%C3%96GW/5b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