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WBGesG (Brandenburg) — Rechtsverordnungen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das Gesundheitswesen zuständige Mitglied der Landesregierung wird ermächtigt, durch Rechtsverordnung die Einzelheiten der Weiterbildung in den einzelnen Weiterbildungsgebieten zu regeln, insbesondere</w:t>
      </w:r>
    </w:p>
    <w:p>
      <w:r>
        <w:t xml:space="preserve">die Weiterbildungsbezeichnungen,</w:t>
      </w:r>
    </w:p>
    <w:p>
      <w:r>
        <w:t xml:space="preserve">die Voraussetzungen für die Zulassung zum Lehrgang,</w:t>
      </w:r>
    </w:p>
    <w:p>
      <w:r>
        <w:t xml:space="preserve">Inhalt, Gliederung, Dauer und Ausgestaltung des Lehrgangs, Art und Umfang des theoretischen und praktischen Unterrichts sowie der berufspraktischen Anteile der Weiterbildung,</w:t>
      </w:r>
    </w:p>
    <w:p>
      <w:r>
        <w:t xml:space="preserve">die Bildung von Prüfungsausschüssen, das Prüfungsverfahren, die Prüfungsmethode nach Art, Zahl und Umfang der Prüfungsleistungen und ihre Bewertung,</w:t>
      </w:r>
    </w:p>
    <w:p>
      <w:r>
        <w:t xml:space="preserve">die Voraussetzungen, nach denen eine Gleichwertigkeit der Weiterbildung im Sinne des § 14 angenommen werden kann,</w:t>
      </w:r>
    </w:p>
    <w:p>
      <w:r>
        <w:t xml:space="preserve">Inhalt, Aufbau und Form eines Zeugnisses und einer Bescheinigung nach § 7 Abs. 4 Satz 1,</w:t>
      </w:r>
    </w:p>
    <w:p>
      <w:r>
        <w:t xml:space="preserve">Regelungen zur Ausstellung eines Europäischen Berufsausweises.</w:t>
      </w:r>
    </w:p>
    <w:p>
      <w:r>
        <w:t xml:space="preserve">(2) Das für das Gesundheitswesen zuständige Mitglied der Landesregierung kann ferner durch Rechtsverordnung die Übergangsregelungen für die bei Inkrafttreten dieses Gesetzes bestehenden Weiterbildungsstätten und die Mindestvoraussetzungen nach § 8 Abs. 2 regeln, insbesondere</w:t>
      </w:r>
    </w:p>
    <w:p>
      <w:r>
        <w:t xml:space="preserve">die Mindestanzahl, Qualifikation und Berufserfahrung der Lehrkräfte und Eignungsmerkmale für die Leitung der Weiterbildungsstätten,</w:t>
      </w:r>
    </w:p>
    <w:p>
      <w:r>
        <w:t xml:space="preserve">die Mindestanzahl, Größe und Einrichtung der erforderlichen Räumlichkeiten,</w:t>
      </w:r>
    </w:p>
    <w:p>
      <w:r>
        <w:t xml:space="preserve">das Verhältnis zwischen dem theoretischen Unterricht, dem praktischen Unterricht und den berufspraktischen Anteilen der Weiterbildung.</w:t>
      </w:r>
    </w:p>
    <w:p>
      <w:r>
        <w:t xml:space="preserve">(3) In der Rechtsverordnung nach Absatz 1 ist für Inhaberinnen und Inhaber von Weiterbildungsnachweisen, die eine Berechtigung nach § 3 Absatz 1 in Verbindung mit § 5 Absatz 2 oder Absatz 3 beantragen, die Durchführung und der Inhalt der Anpassungsmaßnahmen nach § 5 Absatz 1 Satz 5 zu regeln.</w:t>
      </w:r>
    </w:p>
    <w:p>
      <w:r>
        <w:rPr>
          <w:color w:val="555555"/>
          <w:sz w:val="17"/>
        </w:rPr>
        <w:t xml:space="preserve">Zitiervorschlag: § 9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