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WBGesG (Brandenburg) — Inkrafttreten, Außerkrafttreten</w:t>
      </w:r>
    </w:p>
    <w:p>
      <w:r>
        <w:rPr>
          <w:color w:val="555555"/>
          <w:sz w:val="18"/>
        </w:rPr>
        <w:t xml:space="preserve">Gesetz über die Weiterbildung und Fortbildung in den Fachberufen des Gesundheitswesens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Gleichzeitig tritt die Anordnung über die Weiterbildung der medizinischen Fachschulkader vom 8. Februar 1981 (GBl. I Nr. 8 S. 92), soweit sie nach Artikel 9 Abs. 1 des Einigungsvertrages als Landesrecht weitergilt, außer Kraft.</w:t>
      </w:r>
    </w:p>
    <w:p>
      <w:r>
        <w:t xml:space="preserve">Potsdam, den 18. März 1994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15 WBGesG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https://recht.nulegal.eu/gesetze/WBGesG/15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