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WBGesG (Brandenburg) — Übergangsvorschriften</w:t>
      </w:r>
    </w:p>
    <w:p>
      <w:r>
        <w:rPr>
          <w:color w:val="555555"/>
          <w:sz w:val="18"/>
        </w:rPr>
        <w:t xml:space="preserve">Gesetz über die Weiterbildung und Fortbildung in den Fachberufen des Gesundheitswesens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Auf Weiterbildungen, die nach dem 3. Oktober 1990 und vor dem Inkrafttreten der jeweiligen Rechtsverordnung nach § 9 begonnen oder abgeschlossen worden sind, findet § 4 Abs. 1 entsprechend Anwendung, wenn die Weiterbildung gleichwertig mit den Anforderungen der jeweiligen Rechtsverordnung ist.</w:t>
      </w:r>
    </w:p>
    <w:p>
      <w:r>
        <w:rPr>
          <w:color w:val="555555"/>
          <w:sz w:val="17"/>
        </w:rPr>
        <w:t xml:space="preserve">Zitiervorschlag: § 14 WBGesG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https://recht.nulegal.eu/gesetze/WBGesG/14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