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WBGesG (Brandenburg) — Ordnungswidrigkeiten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ohne Berechtigung nach § 4 oder § 5c eine Weiterbildungsbezeichnung nach § 3 führt,</w:t>
      </w:r>
    </w:p>
    <w:p>
      <w:r>
        <w:t xml:space="preserve">entgegen § 3 Absatz 2 seiner Meldepflicht nicht nachkommt oder</w:t>
      </w:r>
    </w:p>
    <w:p>
      <w:r>
        <w:t xml:space="preserve">ohne Anerkennung nach § 8 eine Weiterbildungsstätte mit dem Anschein betreibt, Berechtigungen zum Führen einer Weiterbildungsbezeichnung nach § 4 vermitteln zu können.</w:t>
      </w:r>
    </w:p>
    <w:p>
      <w:r>
        <w:t xml:space="preserve">(2) Ordnungswidrigkeiten nach Absatz 1 Nummer 1 und Nummer 2 können mit einer Geldbuße bis zu 2 500 Euro, Ordnungswidrigkeiten nach Absatz 1 Nummer 3 mit einer Geldbuße bis zu 25 000 Euro geahndet werden.</w:t>
      </w:r>
    </w:p>
    <w:p>
      <w:r>
        <w:rPr>
          <w:color w:val="555555"/>
          <w:sz w:val="17"/>
        </w:rPr>
        <w:t xml:space="preserve">Zitiervorschlag: § 13 WBGesG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