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WBGesG (Brandenburg) — Zuständigkeiten</w:t>
      </w:r>
    </w:p>
    <w:p>
      <w:r>
        <w:rPr>
          <w:color w:val="555555"/>
          <w:sz w:val="18"/>
        </w:rPr>
        <w:t xml:space="preserve">Gesetz über die Weiterbildung und Fortbildung in den Fachberufen des Gesundheitswesens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Zuständige Behörde zur Durchführung dieses Gesetzes ist das für das Gesundheitswesen zuständige Ministerium.</w:t>
      </w:r>
    </w:p>
    <w:p>
      <w:r>
        <w:t xml:space="preserve">(2) Das für das Gesundheitswesen zuständige Mitglied der Landesregierung wird ermächtigt, im Einvernehmen mit dem Minister des Innern, durch Rechtsverordnung die Zuständigkeit zur Durchführung dieses Gesetzes auf eine Landesoberbehörde zu übertragen.</w:t>
      </w:r>
    </w:p>
    <w:p>
      <w:r>
        <w:rPr>
          <w:color w:val="555555"/>
          <w:sz w:val="17"/>
        </w:rPr>
        <w:t xml:space="preserve">Zitiervorschlag: § 12 WBGesG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https://recht.nulegal.eu/gesetze/WBGesG/12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