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WBGesG (Brandenburg) — Anwendungsbereich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regelt die Weiterbildung und Fortbildung in den Fachberufen des Gesundheitswesens.</w:t>
      </w:r>
    </w:p>
    <w:p>
      <w:r>
        <w:t xml:space="preserve">(2) Das Brandenburgische Weiterbildungsgesetz vom 15. Dezember 1993 (GVBl. I S. 498) findet auf die Weiterbildung nach diesem Gesetz keine Anwendung.</w:t>
      </w:r>
    </w:p>
    <w:p>
      <w:r>
        <w:t xml:space="preserve">(3) Das Brandenburgische Berufsqualifikationsfeststellungsgesetz findet mit Ausnahme des § 17 keine Anwendung.</w:t>
      </w:r>
    </w:p>
    <w:p>
      <w:r>
        <w:rPr>
          <w:color w:val="555555"/>
          <w:sz w:val="17"/>
        </w:rPr>
        <w:t xml:space="preserve">Zitiervorschlag: § 1 WBGesG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