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WAnhV (Brandenburg) — Übersendung von Unterlagen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Vor dem Beginn der öffentlichen Auslegung werden die</w:t>
      </w:r>
    </w:p>
    <w:p>
      <w:r>
        <w:t xml:space="preserve">Anhörungsberechtigten schriftlich über den wesentlichen Inhalt der</w:t>
      </w:r>
    </w:p>
    <w:p>
      <w:r>
        <w:t xml:space="preserve">Anhörung unterrichtet. Gleichzeitig wird ihnen ein Muster des Stimmzettels</w:t>
      </w:r>
    </w:p>
    <w:p>
      <w:r>
        <w:t xml:space="preserve">übersandt.</w:t>
      </w:r>
    </w:p>
    <w:p>
      <w:r>
        <w:rPr>
          <w:color w:val="555555"/>
          <w:sz w:val="17"/>
        </w:rPr>
        <w:t xml:space="preserve">Zitiervorschlag: § 7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