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WAnhV (Brandenburg) — Form der Anhörung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Anhörung umfaßt die öffentliche Auslegung,</w:t>
      </w:r>
    </w:p>
    <w:p>
      <w:r>
        <w:t xml:space="preserve">die Übersendung von Unterlagen sowie die Erörterung und Abstimmung</w:t>
      </w:r>
    </w:p>
    <w:p>
      <w:r>
        <w:t xml:space="preserve">über den Wiederansiedlungsstandort.</w:t>
      </w:r>
    </w:p>
    <w:p>
      <w:r>
        <w:rPr>
          <w:color w:val="555555"/>
          <w:sz w:val="17"/>
        </w:rPr>
        <w:t xml:space="preserve">Zitiervorschlag: § 5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